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[00:00:02.350]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videos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terms,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commonly</w:t>
      </w:r>
      <w:r w:rsidR="00000000" w:rsidRPr="00000000" w:rsidDel="00000000">
        <w:rPr>
          <w:rtl w:val="0"/>
        </w:rPr>
        <w:t xml:space="preserve"> performed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zoning</w:t>
      </w:r>
      <w:r w:rsidR="00000000" w:rsidRPr="00000000" w:rsidDel="00000000">
        <w:rPr>
          <w:rtl w:val="0"/>
        </w:rPr>
        <w:t xml:space="preserve"> regulations.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phases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specified</w:t>
      </w:r>
      <w:r w:rsidR="00000000" w:rsidRPr="00000000" w:rsidDel="00000000">
        <w:rPr>
          <w:rtl w:val="0"/>
        </w:rPr>
        <w:t xml:space="preserve"> spatial,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located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specified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like?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sequential,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[00:00:45.830]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launch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toolbar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Tools.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[00:00:55.890]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Navigator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bare</w:t>
      </w:r>
      <w:r w:rsidR="00000000" w:rsidRPr="00000000" w:rsidDel="00000000">
        <w:rPr>
          <w:rtl w:val="0"/>
        </w:rPr>
        <w:t xml:space="preserve"> minimum,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assign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remaining</w:t>
      </w:r>
      <w:r w:rsidR="00000000" w:rsidRPr="00000000" w:rsidDel="00000000">
        <w:rPr>
          <w:rtl w:val="0"/>
        </w:rPr>
        <w:t xml:space="preserve"> substrates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optional.</w:t>
      </w:r>
      <w:r w:rsidR="00000000" w:rsidRPr="00000000" w:rsidDel="00000000">
        <w:rPr>
          <w:rtl w:val="0"/>
        </w:rPr>
        <w:t xml:space="preserve"> Refinements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started.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Redevelopment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polygons.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[00:01:19.360]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specified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conceptual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attribute.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selecting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dropdowns,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designations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attribute.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buildout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rules.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density,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defined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acre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nonresidential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defined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ratio.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[00:01:46.110]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You'll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screen,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typing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type.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[00:01:59.050]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remaining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refine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accept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run.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run.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runs,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outputs.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grouping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contains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layers,</w:t>
      </w:r>
      <w:r w:rsidR="00000000" w:rsidRPr="00000000" w:rsidDel="00000000">
        <w:rPr>
          <w:rtl w:val="0"/>
        </w:rPr>
        <w:t xml:space="preserve"> buildable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footprints.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[00:02:23.380]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Since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only,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Buildable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Currently,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placeholders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runs.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buildable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populated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rules.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polygon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units,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entered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run.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[00:02:50.830]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Other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useful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Builder</w:t>
      </w:r>
      <w:r w:rsidR="00000000" w:rsidRPr="00000000" w:rsidDel="00000000">
        <w:rPr>
          <w:rtl w:val="0"/>
        </w:rPr>
        <w:t xml:space="preserve"> run.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units,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attributes,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placeholder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features,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rules.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[00:03:17.870]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videos,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