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demonstrate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wizards,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easiest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designated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purposes.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[00:00:23.030]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tailored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constructing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formulas.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[00:00:51.390]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setup.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[00:01:04.070]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tab,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later.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measure.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Attribute.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[00:01:41.010]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Click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 </w:t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attribute.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Sum.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shape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[00:02:06.750]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Since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summing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Zoning ty</w:t>
      </w:r>
      <w:r w:rsidR="00000000" w:rsidRPr="00000000" w:rsidDel="00000000">
        <w:rPr>
          <w:rtl w:val="0"/>
        </w:rPr>
        <w:t xml:space="preserve"> Equals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Conservation</w:t>
      </w:r>
      <w:r w:rsidR="00000000" w:rsidRPr="00000000" w:rsidDel="00000000">
        <w:rPr>
          <w:rtl w:val="0"/>
        </w:rPr>
        <w:t xml:space="preserve"> District.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divide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[00:02:34.510]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Divide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screen.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[00:03:03.690]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convert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preview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Finish,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setup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[00:03:25.270]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calculation,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updates</w:t>
      </w:r>
      <w:r w:rsidR="00000000" w:rsidRPr="00000000" w:rsidDel="00000000">
        <w:rPr>
          <w:rtl w:val="0"/>
        </w:rPr>
        <w:t xml:space="preserve"> automatically.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[00:03:47.650]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updates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Painter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session.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[00:03:58.430]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prompts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screen.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always,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help.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[00:04:17.690]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