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demonstrating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alternatives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alternatives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economic,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environmental.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automatically,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Painter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triggers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predefined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customizable.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examine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alternatives.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analyze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alternatives.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[00:01:10.440]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charted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alternative.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charged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impacts,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experimenting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household,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[00:01:51.230]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fewer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Similarly,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site,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[00:02:18.370]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colors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criteria.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locations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suitable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locations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suitable.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trails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suitability.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sensitive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updates.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[00:02:44.970]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Assumption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trails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weight,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developments.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[00:03:17.670]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Alternatively,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customized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maps,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formulas,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descriptions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new,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diagrams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logic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throughout.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[00:03:54.150]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proposals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representation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illustrated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[00:04:12.190]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website,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freely</w:t>
      </w:r>
      <w:r w:rsidR="00000000" w:rsidRPr="00000000" w:rsidDel="00000000">
        <w:rPr>
          <w:rtl w:val="0"/>
        </w:rPr>
        <w:t xml:space="preserve"> shareable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users.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[00:04:27.410]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ArcGIS.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transparencies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layers,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fog,</w:t>
      </w:r>
      <w:r w:rsidR="00000000" w:rsidRPr="00000000" w:rsidDel="00000000">
        <w:rPr>
          <w:rtl w:val="0"/>
        </w:rPr>
        <w:t xml:space="preserve"> lighting,</w:t>
      </w:r>
      <w:r w:rsidR="00000000" w:rsidRPr="00000000" w:rsidDel="00000000">
        <w:rPr>
          <w:rtl w:val="0"/>
        </w:rPr>
        <w:t xml:space="preserve"> shadowing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[00:04:53.490]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exported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viewer.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[00:05:22.800]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Settings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exported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timeline.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short.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