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shortcuts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automatically.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made.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scratch,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decimal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temporarily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charts.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[00:00:52.430]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buttons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element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displayed,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Label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shorter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colors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patterns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desired.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preview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properties,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previews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display.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[00:01:25.490]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tabs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labels.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chart.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[00:01:49.260]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fixed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Last,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Optional</w:t>
      </w:r>
      <w:r w:rsidR="00000000" w:rsidRPr="00000000" w:rsidDel="00000000">
        <w:rPr>
          <w:rtl w:val="0"/>
        </w:rPr>
        <w:t xml:space="preserve"> Item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fixed</w:t>
      </w:r>
      <w:r w:rsidR="00000000" w:rsidRPr="00000000" w:rsidDel="00000000">
        <w:rPr>
          <w:rtl w:val="0"/>
        </w:rPr>
        <w:t xml:space="preserve"> number.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[00:02:17.150]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Click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Setup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duplicate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properties,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filter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capabilities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needs,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snapshot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[00:02:43.590]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references,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