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[00:00:02.110]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hypothetical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fictionalized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livability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GIS</w:t>
      </w:r>
      <w:r w:rsidR="00000000" w:rsidRPr="00000000" w:rsidDel="00000000">
        <w:rPr>
          <w:rtl w:val="0"/>
        </w:rPr>
        <w:t xml:space="preserve"> layers.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[00:00:23.870]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libraries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schools.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underlying</w:t>
      </w:r>
      <w:r w:rsidR="00000000" w:rsidRPr="00000000" w:rsidDel="00000000">
        <w:rPr>
          <w:rtl w:val="0"/>
        </w:rPr>
        <w:t xml:space="preserve"> gray</w:t>
      </w:r>
      <w:r w:rsidR="00000000" w:rsidRPr="00000000" w:rsidDel="00000000">
        <w:rPr>
          <w:rtl w:val="0"/>
        </w:rPr>
        <w:t xml:space="preserve"> polygons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parcels,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livability.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[00:00:39.960]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itself.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schools?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spots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coded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scores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100,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suitable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livable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perspective.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dark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lowest</w:t>
      </w:r>
      <w:r w:rsidR="00000000" w:rsidRPr="00000000" w:rsidDel="00000000">
        <w:rPr>
          <w:rtl w:val="0"/>
        </w:rPr>
        <w:t xml:space="preserve"> score,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spectrum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[00:01:08.150]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parcel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libraries.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libraries,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opinion,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schools.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waiting.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library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factor.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[00:01:25.770]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library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scores.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exclude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results,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counting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parcel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adjusting</w:t>
      </w:r>
      <w:r w:rsidR="00000000" w:rsidRPr="00000000" w:rsidDel="00000000">
        <w:rPr>
          <w:rtl w:val="0"/>
        </w:rPr>
        <w:t xml:space="preserve"> scores</w:t>
      </w:r>
      <w:r w:rsidR="00000000" w:rsidRPr="00000000" w:rsidDel="00000000">
        <w:rPr>
          <w:rtl w:val="0"/>
        </w:rPr>
        <w:t xml:space="preserve"> accordingly.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transit</w:t>
      </w:r>
      <w:r w:rsidR="00000000" w:rsidRPr="00000000" w:rsidDel="00000000">
        <w:rPr>
          <w:rtl w:val="0"/>
        </w:rPr>
        <w:t xml:space="preserve"> stop.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Analyst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computer,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distance.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[00:01:58.620]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Distance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adjust.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geodesign?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open,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sketch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anticipated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library.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occurs,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Returning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factors,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experiment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weights,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factors,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effectively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decisions.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[00:02:35.990]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Parks</w:t>
      </w:r>
      <w:r w:rsidR="00000000" w:rsidRPr="00000000" w:rsidDel="00000000">
        <w:rPr>
          <w:rtl w:val="0"/>
        </w:rPr>
        <w:t xml:space="preserve"> Nearby.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steps,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resume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expanded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flexible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capability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360.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