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open,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move,</w:t>
      </w:r>
      <w:r w:rsidR="00000000" w:rsidRPr="00000000" w:rsidDel="00000000">
        <w:rPr>
          <w:rtl w:val="0"/>
        </w:rPr>
        <w:t xml:space="preserve"> dock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[00:00:24.360]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update.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chart's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affecting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Watches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updates.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hatched</w:t>
      </w:r>
      <w:r w:rsidR="00000000" w:rsidRPr="00000000" w:rsidDel="00000000">
        <w:rPr>
          <w:rtl w:val="0"/>
        </w:rPr>
        <w:t xml:space="preserve"> lines.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chart's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values.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[00:00:46.170]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Hover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cursor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hyperlink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controls.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resizable</w:t>
      </w:r>
      <w:r w:rsidR="00000000" w:rsidRPr="00000000" w:rsidDel="00000000">
        <w:rPr>
          <w:rtl w:val="0"/>
        </w:rPr>
        <w:t xml:space="preserve"> window.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[00:01:10.560]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Properties.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chart's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file,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properties.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adds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element.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[00:01:40.670]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window,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item,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individually.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selected,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display.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Organized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order.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[00:02:14.330]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minus</w:t>
      </w:r>
      <w:r w:rsidR="00000000" w:rsidRPr="00000000" w:rsidDel="00000000">
        <w:rPr>
          <w:rtl w:val="0"/>
        </w:rPr>
        <w:t xml:space="preserve"> icon.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arrow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others.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[00:02:35.210]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Alert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pops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alert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reached.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